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Проверка в сфере использования выморочного имущества.</w:t>
      </w:r>
    </w:p>
    <w:p w14:paraId="02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3000000">
      <w:pPr>
        <w:pStyle w:val="Style_1"/>
        <w:spacing w:after="0" w:line="240" w:lineRule="auto"/>
        <w:ind w:firstLine="992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в сфере использования выморочного имущества, в ходе которой проанализированы сведения о наличии остатка денежных средств на расчетном счете юридического лица. </w:t>
      </w:r>
    </w:p>
    <w:p w14:paraId="04000000">
      <w:pPr>
        <w:pStyle w:val="Style_1"/>
        <w:spacing w:after="0" w:line="240" w:lineRule="auto"/>
        <w:ind w:firstLine="992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Установлено, что согласно выписке из Единого государственного реестра юридических лиц Общество исключено из ЕГРЮЛ в связи с наличием сведений о недостоверности. </w:t>
      </w:r>
      <w:r>
        <w:rPr>
          <w:rFonts w:ascii="Times New Roman" w:hAnsi="Times New Roman"/>
          <w:sz w:val="28"/>
        </w:rPr>
        <w:t xml:space="preserve">В банке имеется открытый расчетный счет юридического лица, на котором находятся денежные средства, о праве собственности на которые в установленном порядке никто не заявил. </w:t>
      </w:r>
    </w:p>
    <w:p w14:paraId="05000000">
      <w:pPr>
        <w:pStyle w:val="Style_1"/>
        <w:spacing w:after="0" w:line="240" w:lineRule="auto"/>
        <w:ind w:firstLine="992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По результатам проверки прокуратурой города в суд направлено исковое заявление о признании бесхозяйными денежные средства и п</w:t>
      </w:r>
      <w:r>
        <w:rPr>
          <w:rFonts w:ascii="Times New Roman" w:hAnsi="Times New Roman"/>
          <w:b w:val="0"/>
          <w:sz w:val="28"/>
        </w:rPr>
        <w:t xml:space="preserve">ередачи их в собственность Российской Федерации. </w:t>
      </w:r>
    </w:p>
    <w:p w14:paraId="0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7000000">
      <w:pPr>
        <w:ind/>
        <w:jc w:val="both"/>
        <w:rPr>
          <w:rFonts w:ascii="Times New Roman" w:hAnsi="Times New Roman"/>
          <w:sz w:val="28"/>
        </w:rPr>
      </w:pPr>
    </w:p>
    <w:p w14:paraId="08000000">
      <w:pPr>
        <w:ind/>
        <w:jc w:val="both"/>
        <w:rPr>
          <w:rFonts w:ascii="Times New Roman" w:hAnsi="Times New Roman"/>
          <w:sz w:val="28"/>
        </w:rPr>
      </w:pPr>
    </w:p>
    <w:p w14:paraId="09000000">
      <w:pPr>
        <w:ind/>
        <w:jc w:val="both"/>
        <w:rPr>
          <w:rFonts w:ascii="Times New Roman" w:hAnsi="Times New Roman"/>
          <w:sz w:val="28"/>
        </w:rPr>
      </w:pPr>
    </w:p>
    <w:p w14:paraId="0A000000">
      <w:pPr>
        <w:ind/>
        <w:jc w:val="both"/>
        <w:rPr>
          <w:rFonts w:ascii="Times New Roman" w:hAnsi="Times New Roman"/>
          <w:sz w:val="28"/>
        </w:rPr>
      </w:pPr>
    </w:p>
    <w:p w14:paraId="0B000000">
      <w:pPr>
        <w:ind/>
        <w:jc w:val="both"/>
        <w:rPr>
          <w:rFonts w:ascii="Times New Roman" w:hAnsi="Times New Roman"/>
          <w:sz w:val="28"/>
        </w:rPr>
      </w:pPr>
    </w:p>
    <w:p w14:paraId="0C000000">
      <w:pPr>
        <w:ind/>
        <w:jc w:val="both"/>
        <w:rPr>
          <w:rFonts w:ascii="Times New Roman" w:hAnsi="Times New Roman"/>
          <w:sz w:val="28"/>
        </w:rPr>
      </w:pPr>
    </w:p>
    <w:p w14:paraId="0D000000">
      <w:pPr>
        <w:ind/>
        <w:jc w:val="both"/>
        <w:rPr>
          <w:rFonts w:ascii="Times New Roman" w:hAnsi="Times New Roman"/>
          <w:sz w:val="28"/>
        </w:rPr>
      </w:pPr>
    </w:p>
    <w:p w14:paraId="0E000000">
      <w:pPr>
        <w:ind/>
        <w:jc w:val="both"/>
        <w:rPr>
          <w:rFonts w:ascii="Times New Roman" w:hAnsi="Times New Roman"/>
          <w:sz w:val="28"/>
        </w:rPr>
      </w:pPr>
    </w:p>
    <w:p w14:paraId="0F000000">
      <w:pPr>
        <w:ind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52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2025-11-01T10:21:28Z</dcterms:modified>
</cp:coreProperties>
</file>